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8BAE" w14:textId="77777777" w:rsidR="00B87A31" w:rsidRDefault="00000000">
      <w:pPr>
        <w:pStyle w:val="Titre"/>
        <w:rPr>
          <w:sz w:val="36"/>
          <w:szCs w:val="36"/>
        </w:rPr>
      </w:pPr>
      <w:r>
        <w:rPr>
          <w:b/>
          <w:sz w:val="36"/>
          <w:szCs w:val="36"/>
        </w:rPr>
        <w:t>CSW68</w:t>
      </w:r>
      <w:r>
        <w:rPr>
          <w:sz w:val="36"/>
          <w:szCs w:val="36"/>
        </w:rPr>
        <w:t xml:space="preserve"> (2024)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B7F41E" wp14:editId="6B1D0607">
            <wp:simplePos x="0" y="0"/>
            <wp:positionH relativeFrom="column">
              <wp:posOffset>4424414</wp:posOffset>
            </wp:positionH>
            <wp:positionV relativeFrom="paragraph">
              <wp:posOffset>-137241</wp:posOffset>
            </wp:positionV>
            <wp:extent cx="1307691" cy="702408"/>
            <wp:effectExtent l="0" t="0" r="0" b="0"/>
            <wp:wrapNone/>
            <wp:docPr id="179534074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7691" cy="702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37D204B" wp14:editId="024CD0DD">
            <wp:simplePos x="0" y="0"/>
            <wp:positionH relativeFrom="column">
              <wp:posOffset>3657560</wp:posOffset>
            </wp:positionH>
            <wp:positionV relativeFrom="paragraph">
              <wp:posOffset>-90053</wp:posOffset>
            </wp:positionV>
            <wp:extent cx="714759" cy="700935"/>
            <wp:effectExtent l="0" t="0" r="0" b="0"/>
            <wp:wrapNone/>
            <wp:docPr id="179534074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759" cy="700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523B59" w14:textId="77777777" w:rsidR="00B87A31" w:rsidRDefault="00000000">
      <w:r>
        <w:t>UN Headquarters, New York</w:t>
      </w:r>
    </w:p>
    <w:p w14:paraId="21BBAB76" w14:textId="77777777" w:rsidR="00B87A31" w:rsidRDefault="00B87A31"/>
    <w:p w14:paraId="37AD9773" w14:textId="77777777" w:rsidR="00B87A31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World Urban Campaign Session</w:t>
      </w:r>
    </w:p>
    <w:p w14:paraId="1997D87E" w14:textId="77777777" w:rsidR="00B87A31" w:rsidRDefault="00000000">
      <w:pPr>
        <w:pStyle w:val="Titre1"/>
        <w:rPr>
          <w:b/>
        </w:rPr>
      </w:pPr>
      <w:r>
        <w:rPr>
          <w:b/>
        </w:rPr>
        <w:t>#HousingMatters to Women and Girls</w:t>
      </w:r>
    </w:p>
    <w:p w14:paraId="715918B6" w14:textId="77777777" w:rsidR="00B87A31" w:rsidRDefault="00000000">
      <w:pPr>
        <w:pStyle w:val="Titre3"/>
        <w:rPr>
          <w:i/>
          <w:sz w:val="28"/>
          <w:szCs w:val="28"/>
        </w:rPr>
      </w:pPr>
      <w:r>
        <w:rPr>
          <w:i/>
          <w:sz w:val="28"/>
          <w:szCs w:val="28"/>
        </w:rPr>
        <w:t>Adequate housing to achieve gender equality and the empowerment of all women and girls.</w:t>
      </w:r>
    </w:p>
    <w:p w14:paraId="0215EE24" w14:textId="77777777" w:rsidR="00B87A31" w:rsidRDefault="00B87A31"/>
    <w:p w14:paraId="1E5D7D79" w14:textId="77777777" w:rsidR="00B87A31" w:rsidRDefault="00000000">
      <w:pPr>
        <w:rPr>
          <w:b/>
        </w:rPr>
      </w:pPr>
      <w:r>
        <w:rPr>
          <w:b/>
        </w:rPr>
        <w:t xml:space="preserve">Date: Monday </w:t>
      </w:r>
      <w:r>
        <w:rPr>
          <w:rFonts w:ascii="Helvetica Neue" w:eastAsia="Helvetica Neue" w:hAnsi="Helvetica Neue" w:cs="Helvetica Neue"/>
          <w:color w:val="222222"/>
          <w:sz w:val="21"/>
          <w:szCs w:val="21"/>
          <w:highlight w:val="white"/>
        </w:rPr>
        <w:t>18-Mar-2024</w:t>
      </w:r>
    </w:p>
    <w:p w14:paraId="03A34CC0" w14:textId="77777777" w:rsidR="00B87A31" w:rsidRDefault="00000000">
      <w:pPr>
        <w:rPr>
          <w:b/>
        </w:rPr>
      </w:pPr>
      <w:r>
        <w:rPr>
          <w:b/>
        </w:rPr>
        <w:t xml:space="preserve">Time: </w:t>
      </w:r>
      <w:r>
        <w:rPr>
          <w:rFonts w:ascii="Helvetica Neue" w:eastAsia="Helvetica Neue" w:hAnsi="Helvetica Neue" w:cs="Helvetica Neue"/>
          <w:color w:val="222222"/>
          <w:sz w:val="21"/>
          <w:szCs w:val="21"/>
          <w:highlight w:val="white"/>
        </w:rPr>
        <w:t>4:45 PM - 6:00 PM (75-minutes)</w:t>
      </w:r>
    </w:p>
    <w:p w14:paraId="2AC4184D" w14:textId="77777777" w:rsidR="00B87A31" w:rsidRDefault="00000000">
      <w:r>
        <w:rPr>
          <w:b/>
        </w:rPr>
        <w:t xml:space="preserve">Venue: </w:t>
      </w:r>
      <w:r>
        <w:rPr>
          <w:rFonts w:ascii="Helvetica Neue" w:eastAsia="Helvetica Neue" w:hAnsi="Helvetica Neue" w:cs="Helvetica Neue"/>
          <w:color w:val="222222"/>
          <w:sz w:val="21"/>
          <w:szCs w:val="21"/>
          <w:highlight w:val="white"/>
        </w:rPr>
        <w:t xml:space="preserve">Conference Room </w:t>
      </w:r>
      <w:proofErr w:type="gramStart"/>
      <w:r>
        <w:rPr>
          <w:rFonts w:ascii="Helvetica Neue" w:eastAsia="Helvetica Neue" w:hAnsi="Helvetica Neue" w:cs="Helvetica Neue"/>
          <w:color w:val="222222"/>
          <w:sz w:val="21"/>
          <w:szCs w:val="21"/>
          <w:highlight w:val="white"/>
        </w:rPr>
        <w:t>D</w:t>
      </w:r>
      <w:r>
        <w:t>,UN</w:t>
      </w:r>
      <w:proofErr w:type="gramEnd"/>
      <w:r>
        <w:t xml:space="preserve"> Headquarters, New York</w:t>
      </w:r>
    </w:p>
    <w:p w14:paraId="3FE4FE71" w14:textId="77777777" w:rsidR="00B87A31" w:rsidRDefault="00000000">
      <w:r>
        <w:rPr>
          <w:rFonts w:ascii="Helvetica Neue" w:eastAsia="Helvetica Neue" w:hAnsi="Helvetica Neue" w:cs="Helvetica Neue"/>
          <w:b/>
          <w:color w:val="222222"/>
          <w:sz w:val="21"/>
          <w:szCs w:val="21"/>
        </w:rPr>
        <w:t>Event number:</w:t>
      </w:r>
      <w:r>
        <w:rPr>
          <w:rFonts w:ascii="Helvetica Neue" w:eastAsia="Helvetica Neue" w:hAnsi="Helvetica Neue" w:cs="Helvetica Neue"/>
          <w:color w:val="222222"/>
          <w:sz w:val="21"/>
          <w:szCs w:val="21"/>
        </w:rPr>
        <w:t> 240530</w:t>
      </w:r>
    </w:p>
    <w:p w14:paraId="4F01FEEE" w14:textId="77777777" w:rsidR="00B87A31" w:rsidRDefault="00B87A31"/>
    <w:p w14:paraId="1A9DCE0D" w14:textId="77777777" w:rsidR="00B87A31" w:rsidRDefault="00000000">
      <w:pPr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Organisation</w:t>
      </w:r>
      <w:proofErr w:type="spellEnd"/>
      <w:r>
        <w:rPr>
          <w:b/>
          <w:i/>
          <w:color w:val="000000"/>
        </w:rPr>
        <w:t xml:space="preserve"> of the Event:</w:t>
      </w:r>
    </w:p>
    <w:p w14:paraId="32F6772E" w14:textId="77777777" w:rsidR="00B87A31" w:rsidRDefault="00000000">
      <w:pPr>
        <w:rPr>
          <w:color w:val="000000"/>
        </w:rPr>
      </w:pPr>
      <w:r>
        <w:rPr>
          <w:color w:val="000000"/>
        </w:rPr>
        <w:t>UN-Habitat</w:t>
      </w:r>
    </w:p>
    <w:p w14:paraId="3446EADD" w14:textId="77777777" w:rsidR="00B87A31" w:rsidRDefault="00B87A31"/>
    <w:p w14:paraId="1FAD013F" w14:textId="77777777" w:rsidR="00B87A31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>Background:</w:t>
      </w:r>
    </w:p>
    <w:p w14:paraId="4B158303" w14:textId="77777777" w:rsidR="00B87A31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sixty-eighth session of the Commission on the Status of Women (CSW68) will take place from 11 to 22 March 2024. Representatives of Member States, UN entities, and ECOSOC-accredited non-governmental organizations (NGOs) from all regions of the world are invited to contribute to the session. The </w:t>
      </w:r>
      <w:r>
        <w:rPr>
          <w:b/>
          <w:color w:val="000000"/>
          <w:sz w:val="22"/>
          <w:szCs w:val="22"/>
        </w:rPr>
        <w:t>priority theme</w:t>
      </w:r>
      <w:r>
        <w:rPr>
          <w:color w:val="000000"/>
          <w:sz w:val="22"/>
          <w:szCs w:val="22"/>
        </w:rPr>
        <w:t xml:space="preserve"> is ‘Accelerating the achievement of gender equality and the empowerment of all women and girls by addressing poverty and strengthening institutions and financing with a gender perspective’. The </w:t>
      </w:r>
      <w:r>
        <w:rPr>
          <w:b/>
          <w:color w:val="000000"/>
          <w:sz w:val="22"/>
          <w:szCs w:val="22"/>
        </w:rPr>
        <w:t>review theme</w:t>
      </w:r>
      <w:r>
        <w:rPr>
          <w:color w:val="000000"/>
          <w:sz w:val="22"/>
          <w:szCs w:val="22"/>
        </w:rPr>
        <w:t xml:space="preserve"> is about ‘social protection systems, access to public services and sustainable infrastructure for gender equality and the empowerment of women and girls’.</w:t>
      </w:r>
    </w:p>
    <w:p w14:paraId="134FDB9D" w14:textId="77777777" w:rsidR="00B87A31" w:rsidRDefault="00B87A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9A8E17C" w14:textId="77777777" w:rsidR="00B87A31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Housing</w:t>
      </w:r>
      <w:r>
        <w:rPr>
          <w:color w:val="000000"/>
          <w:sz w:val="22"/>
          <w:szCs w:val="22"/>
        </w:rPr>
        <w:t xml:space="preserve"> is a fundamental element to accelerate the achievement of gender equality and the empowerment of all women and girls. This aspect is related to SDG Target 11.1: By 2030, ensure access for all to adequate, </w:t>
      </w:r>
      <w:proofErr w:type="gramStart"/>
      <w:r>
        <w:rPr>
          <w:color w:val="000000"/>
          <w:sz w:val="22"/>
          <w:szCs w:val="22"/>
        </w:rPr>
        <w:t>safe</w:t>
      </w:r>
      <w:proofErr w:type="gramEnd"/>
      <w:r>
        <w:rPr>
          <w:color w:val="000000"/>
          <w:sz w:val="22"/>
          <w:szCs w:val="22"/>
        </w:rPr>
        <w:t xml:space="preserve"> and affordable housing and basic services and upgrade slums. In the SDG11 report represented during its review at the </w:t>
      </w:r>
      <w:proofErr w:type="gramStart"/>
      <w:r>
        <w:rPr>
          <w:color w:val="000000"/>
          <w:sz w:val="22"/>
          <w:szCs w:val="22"/>
        </w:rPr>
        <w:t>High Level</w:t>
      </w:r>
      <w:proofErr w:type="gramEnd"/>
      <w:r>
        <w:rPr>
          <w:color w:val="000000"/>
          <w:sz w:val="22"/>
          <w:szCs w:val="22"/>
        </w:rPr>
        <w:t xml:space="preserve"> Political Forum 2023, two key actions to accelerate this target are:</w:t>
      </w:r>
    </w:p>
    <w:p w14:paraId="5EDF4EE0" w14:textId="77777777" w:rsidR="00B87A3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Promoting multiple housing finance options can improve access to adequate housing.</w:t>
      </w:r>
    </w:p>
    <w:p w14:paraId="37E1D8E4" w14:textId="77777777" w:rsidR="00B87A3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Active and broad political participation is essential to ensure access to safe, </w:t>
      </w:r>
      <w:proofErr w:type="gramStart"/>
      <w:r>
        <w:rPr>
          <w:color w:val="000000"/>
          <w:sz w:val="22"/>
          <w:szCs w:val="22"/>
        </w:rPr>
        <w:t>adequate</w:t>
      </w:r>
      <w:proofErr w:type="gramEnd"/>
      <w:r>
        <w:rPr>
          <w:color w:val="000000"/>
          <w:sz w:val="22"/>
          <w:szCs w:val="22"/>
        </w:rPr>
        <w:t xml:space="preserve"> and affordable housing and basic services in all communities.</w:t>
      </w:r>
    </w:p>
    <w:p w14:paraId="6E4A83C8" w14:textId="77777777" w:rsidR="00B87A31" w:rsidRDefault="00B87A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BAE9182" w14:textId="77777777" w:rsidR="00B87A31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#HousingMatters</w:t>
      </w:r>
      <w:r>
        <w:rPr>
          <w:color w:val="000000"/>
          <w:sz w:val="22"/>
          <w:szCs w:val="22"/>
        </w:rPr>
        <w:t xml:space="preserve"> is a global campaign led by the World Urban Campaign of UN-Habitat in 2024-25 to advocate for the recognition of housing as a fundamental right that shapes our environment, well-being, and the future of our planet.</w:t>
      </w:r>
    </w:p>
    <w:p w14:paraId="3310F9D3" w14:textId="77777777" w:rsidR="00B87A31" w:rsidRDefault="00B87A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D4CE613" w14:textId="77777777" w:rsidR="00B87A31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particular, </w:t>
      </w:r>
      <w:r>
        <w:rPr>
          <w:b/>
          <w:color w:val="000000"/>
          <w:sz w:val="22"/>
          <w:szCs w:val="22"/>
        </w:rPr>
        <w:t>#HousingMatters to Women and Girls</w:t>
      </w:r>
      <w:r>
        <w:rPr>
          <w:color w:val="000000"/>
          <w:sz w:val="22"/>
          <w:szCs w:val="22"/>
        </w:rPr>
        <w:t>:</w:t>
      </w:r>
    </w:p>
    <w:p w14:paraId="7A23393F" w14:textId="77777777" w:rsidR="00B87A3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Because worldwide at least 1.8 billion people don’t have access to safe, </w:t>
      </w:r>
      <w:proofErr w:type="gramStart"/>
      <w:r>
        <w:rPr>
          <w:color w:val="000000"/>
          <w:sz w:val="22"/>
          <w:szCs w:val="22"/>
        </w:rPr>
        <w:t>affordable</w:t>
      </w:r>
      <w:proofErr w:type="gramEnd"/>
      <w:r>
        <w:rPr>
          <w:color w:val="000000"/>
          <w:sz w:val="22"/>
          <w:szCs w:val="22"/>
        </w:rPr>
        <w:t xml:space="preserve"> and adequate housing. Women and girls are disproportionally affected by the global housing crisis, </w:t>
      </w:r>
      <w:proofErr w:type="gramStart"/>
      <w:r>
        <w:rPr>
          <w:color w:val="000000"/>
          <w:sz w:val="22"/>
          <w:szCs w:val="22"/>
        </w:rPr>
        <w:t>as a result of</w:t>
      </w:r>
      <w:proofErr w:type="gramEnd"/>
      <w:r>
        <w:rPr>
          <w:color w:val="000000"/>
          <w:sz w:val="22"/>
          <w:szCs w:val="22"/>
        </w:rPr>
        <w:t xml:space="preserve"> discrimination and inequality in housing, living in insecure, undignified and unsafe conditions, at increased risk of homelessness and violence.</w:t>
      </w:r>
    </w:p>
    <w:p w14:paraId="345817A1" w14:textId="77777777" w:rsidR="00B87A3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Forced evictions and other violations of the right to housing, disproportionally impact women and reinforce existing inequalities, representing a significant barrier to gender equality.</w:t>
      </w:r>
    </w:p>
    <w:p w14:paraId="328F4B23" w14:textId="77777777" w:rsidR="00B87A3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Adequate housing is key to women’s survival. With less than 40% of women participating in the labor force globally, women and children are most often the victims of housing-related fatalities simply because they spend more time at home.</w:t>
      </w:r>
    </w:p>
    <w:p w14:paraId="3E425AC7" w14:textId="77777777" w:rsidR="00B87A3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Housing is more than a roof over women and girls heads. Housing is their first line of defense against climate change and health risks. A clean, </w:t>
      </w:r>
      <w:proofErr w:type="gramStart"/>
      <w:r>
        <w:rPr>
          <w:color w:val="000000"/>
          <w:sz w:val="22"/>
          <w:szCs w:val="22"/>
        </w:rPr>
        <w:t>hygienic</w:t>
      </w:r>
      <w:proofErr w:type="gramEnd"/>
      <w:r>
        <w:rPr>
          <w:color w:val="000000"/>
          <w:sz w:val="22"/>
          <w:szCs w:val="22"/>
        </w:rPr>
        <w:t xml:space="preserve"> and safe living space promotes better physical health, reduces the risk of diseases, and contributes to improved mental well-being, allowing them to thrive in all aspects of life. Adequate housing allows women and girls to live in dignity and thrive.</w:t>
      </w:r>
    </w:p>
    <w:p w14:paraId="12A14EB3" w14:textId="77777777" w:rsidR="00B87A31" w:rsidRDefault="00B87A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154EAAA" w14:textId="77777777" w:rsidR="00B87A31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One of the important targets for SDG11 is Target </w:t>
      </w:r>
      <w:proofErr w:type="spellStart"/>
      <w:r>
        <w:rPr>
          <w:color w:val="000000"/>
          <w:sz w:val="22"/>
          <w:szCs w:val="22"/>
        </w:rPr>
        <w:t>Target</w:t>
      </w:r>
      <w:proofErr w:type="spellEnd"/>
      <w:r>
        <w:rPr>
          <w:color w:val="000000"/>
          <w:sz w:val="22"/>
          <w:szCs w:val="22"/>
        </w:rPr>
        <w:t xml:space="preserve"> 11.1: By 2030, ensure access for all to adequate, </w:t>
      </w:r>
      <w:proofErr w:type="gramStart"/>
      <w:r>
        <w:rPr>
          <w:color w:val="000000"/>
          <w:sz w:val="22"/>
          <w:szCs w:val="22"/>
        </w:rPr>
        <w:t>safe</w:t>
      </w:r>
      <w:proofErr w:type="gramEnd"/>
      <w:r>
        <w:rPr>
          <w:color w:val="000000"/>
          <w:sz w:val="22"/>
          <w:szCs w:val="22"/>
        </w:rPr>
        <w:t xml:space="preserve"> and affordable housing and basic services and upgrade slums. In the SDG11 report represented during its review at the </w:t>
      </w:r>
      <w:proofErr w:type="gramStart"/>
      <w:r>
        <w:rPr>
          <w:color w:val="000000"/>
          <w:sz w:val="22"/>
          <w:szCs w:val="22"/>
        </w:rPr>
        <w:t>High Level</w:t>
      </w:r>
      <w:proofErr w:type="gramEnd"/>
      <w:r>
        <w:rPr>
          <w:color w:val="000000"/>
          <w:sz w:val="22"/>
          <w:szCs w:val="22"/>
        </w:rPr>
        <w:t xml:space="preserve"> Political Forum 2023, two key actions to accelerate this target are:</w:t>
      </w:r>
    </w:p>
    <w:p w14:paraId="41BB5A18" w14:textId="77777777" w:rsidR="00B87A3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Promoting multiple housing finance options can improve access to adequate housing.</w:t>
      </w:r>
    </w:p>
    <w:p w14:paraId="4B7C187E" w14:textId="77777777" w:rsidR="00B87A3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Active and broad political participation is essential to ensure access to safe, </w:t>
      </w:r>
      <w:proofErr w:type="gramStart"/>
      <w:r>
        <w:rPr>
          <w:color w:val="000000"/>
          <w:sz w:val="22"/>
          <w:szCs w:val="22"/>
        </w:rPr>
        <w:t>adequate</w:t>
      </w:r>
      <w:proofErr w:type="gramEnd"/>
      <w:r>
        <w:rPr>
          <w:color w:val="000000"/>
          <w:sz w:val="22"/>
          <w:szCs w:val="22"/>
        </w:rPr>
        <w:t xml:space="preserve"> and affordable housing and basic services in all communities.</w:t>
      </w:r>
    </w:p>
    <w:p w14:paraId="72C48871" w14:textId="77777777" w:rsidR="00B87A31" w:rsidRDefault="00B87A31">
      <w:pPr>
        <w:rPr>
          <w:color w:val="4A4A49"/>
          <w:sz w:val="22"/>
          <w:szCs w:val="22"/>
        </w:rPr>
      </w:pPr>
    </w:p>
    <w:p w14:paraId="78B33BC0" w14:textId="77777777" w:rsidR="00B87A31" w:rsidRDefault="00000000">
      <w:pPr>
        <w:rPr>
          <w:b/>
          <w:i/>
          <w:color w:val="4A4A49"/>
        </w:rPr>
      </w:pPr>
      <w:r>
        <w:rPr>
          <w:b/>
          <w:i/>
          <w:color w:val="4A4A49"/>
        </w:rPr>
        <w:t>Objectives of the session:</w:t>
      </w:r>
    </w:p>
    <w:p w14:paraId="0F0839C0" w14:textId="77777777" w:rsidR="00B87A3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introduce the #HousingMatters Campaign to the women’s constituency, governments, </w:t>
      </w:r>
      <w:proofErr w:type="gramStart"/>
      <w:r>
        <w:rPr>
          <w:color w:val="000000"/>
          <w:sz w:val="22"/>
          <w:szCs w:val="22"/>
        </w:rPr>
        <w:t>donors</w:t>
      </w:r>
      <w:proofErr w:type="gramEnd"/>
      <w:r>
        <w:rPr>
          <w:color w:val="000000"/>
          <w:sz w:val="22"/>
          <w:szCs w:val="22"/>
        </w:rPr>
        <w:t xml:space="preserve"> and other development institutions.</w:t>
      </w:r>
    </w:p>
    <w:p w14:paraId="499C3E1C" w14:textId="77777777" w:rsidR="00B87A3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share, present and discuss practices led by women </w:t>
      </w:r>
      <w:proofErr w:type="spellStart"/>
      <w:r>
        <w:rPr>
          <w:color w:val="000000"/>
          <w:sz w:val="22"/>
          <w:szCs w:val="22"/>
        </w:rPr>
        <w:t>organisations</w:t>
      </w:r>
      <w:proofErr w:type="spellEnd"/>
      <w:r>
        <w:rPr>
          <w:color w:val="000000"/>
          <w:sz w:val="22"/>
          <w:szCs w:val="22"/>
        </w:rPr>
        <w:t xml:space="preserve">, governments and development institutions that highlight community-based and women innovations and leadership in designing policy </w:t>
      </w:r>
      <w:proofErr w:type="spellStart"/>
      <w:r>
        <w:rPr>
          <w:color w:val="000000"/>
          <w:sz w:val="22"/>
          <w:szCs w:val="22"/>
        </w:rPr>
        <w:t>programme</w:t>
      </w:r>
      <w:proofErr w:type="spellEnd"/>
      <w:r>
        <w:rPr>
          <w:color w:val="000000"/>
          <w:sz w:val="22"/>
          <w:szCs w:val="22"/>
        </w:rPr>
        <w:t xml:space="preserve"> and funding mechanisms for women to own houses and sustainable communities.</w:t>
      </w:r>
    </w:p>
    <w:p w14:paraId="0A079D54" w14:textId="77777777" w:rsidR="00B87A3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make recommendations related to housing policies and </w:t>
      </w:r>
      <w:proofErr w:type="spellStart"/>
      <w:r>
        <w:rPr>
          <w:color w:val="000000"/>
          <w:sz w:val="22"/>
          <w:szCs w:val="22"/>
        </w:rPr>
        <w:t>programmes</w:t>
      </w:r>
      <w:proofErr w:type="spellEnd"/>
      <w:r>
        <w:rPr>
          <w:color w:val="000000"/>
          <w:sz w:val="22"/>
          <w:szCs w:val="22"/>
        </w:rPr>
        <w:t xml:space="preserve"> that works for women and girls.</w:t>
      </w:r>
    </w:p>
    <w:p w14:paraId="612B5B3B" w14:textId="77777777" w:rsidR="00B87A31" w:rsidRDefault="00B87A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757DDB8" w14:textId="77777777" w:rsidR="00B87A31" w:rsidRDefault="00000000">
      <w:pPr>
        <w:rPr>
          <w:b/>
          <w:i/>
          <w:color w:val="000000"/>
        </w:rPr>
      </w:pPr>
      <w:r>
        <w:rPr>
          <w:b/>
          <w:i/>
          <w:color w:val="000000"/>
        </w:rPr>
        <w:t>Expected Outcomes:</w:t>
      </w:r>
    </w:p>
    <w:p w14:paraId="60E1BC46" w14:textId="77777777" w:rsidR="00B87A3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Enhanced visibility of the #HousingMatters Campaign by UN-Habitat.</w:t>
      </w:r>
    </w:p>
    <w:p w14:paraId="4F00C0DD" w14:textId="77777777" w:rsidR="00B87A3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Strategic collaboration amongst stakeholders in innovative policies and </w:t>
      </w:r>
      <w:proofErr w:type="spellStart"/>
      <w:r>
        <w:rPr>
          <w:color w:val="000000"/>
          <w:sz w:val="22"/>
          <w:szCs w:val="22"/>
        </w:rPr>
        <w:t>programmes</w:t>
      </w:r>
      <w:proofErr w:type="spellEnd"/>
      <w:r>
        <w:rPr>
          <w:color w:val="000000"/>
          <w:sz w:val="22"/>
          <w:szCs w:val="22"/>
        </w:rPr>
        <w:t xml:space="preserve"> that center-stage women’s contributions, leadership, needs and roles.</w:t>
      </w:r>
    </w:p>
    <w:p w14:paraId="6AF3CCA7" w14:textId="77777777" w:rsidR="00B87A3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Recommendations on housing policies and </w:t>
      </w:r>
      <w:proofErr w:type="spellStart"/>
      <w:r>
        <w:rPr>
          <w:color w:val="000000"/>
          <w:sz w:val="22"/>
          <w:szCs w:val="22"/>
        </w:rPr>
        <w:t>programmes</w:t>
      </w:r>
      <w:proofErr w:type="spellEnd"/>
      <w:r>
        <w:rPr>
          <w:color w:val="000000"/>
          <w:sz w:val="22"/>
          <w:szCs w:val="22"/>
        </w:rPr>
        <w:t xml:space="preserve"> that works for women and girls.</w:t>
      </w:r>
    </w:p>
    <w:p w14:paraId="25FF11DD" w14:textId="77777777" w:rsidR="00B87A31" w:rsidRDefault="00B87A31">
      <w:pPr>
        <w:rPr>
          <w:color w:val="000000"/>
          <w:sz w:val="22"/>
          <w:szCs w:val="22"/>
        </w:rPr>
      </w:pPr>
    </w:p>
    <w:p w14:paraId="455D140A" w14:textId="77777777" w:rsidR="00B87A31" w:rsidRDefault="00B87A31">
      <w:pPr>
        <w:rPr>
          <w:color w:val="000000"/>
          <w:sz w:val="22"/>
          <w:szCs w:val="22"/>
        </w:rPr>
      </w:pPr>
    </w:p>
    <w:p w14:paraId="1ED6ABC9" w14:textId="77777777" w:rsidR="00B87A31" w:rsidRDefault="00000000">
      <w:pPr>
        <w:rPr>
          <w:b/>
          <w:color w:val="000000"/>
        </w:rPr>
      </w:pPr>
      <w:r>
        <w:rPr>
          <w:b/>
          <w:color w:val="000000"/>
        </w:rPr>
        <w:t>Speaker &amp; Panelists:</w:t>
      </w:r>
    </w:p>
    <w:p w14:paraId="2C8903EE" w14:textId="77777777" w:rsidR="00B87A3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Introduction:</w:t>
      </w:r>
      <w:r>
        <w:rPr>
          <w:b/>
          <w:color w:val="212121"/>
          <w:sz w:val="22"/>
          <w:szCs w:val="22"/>
        </w:rPr>
        <w:t xml:space="preserve"> Paula </w:t>
      </w:r>
      <w:proofErr w:type="spellStart"/>
      <w:r>
        <w:rPr>
          <w:b/>
          <w:color w:val="212121"/>
          <w:sz w:val="22"/>
          <w:szCs w:val="22"/>
        </w:rPr>
        <w:t>Pennanen</w:t>
      </w:r>
      <w:proofErr w:type="spellEnd"/>
      <w:r>
        <w:rPr>
          <w:b/>
          <w:color w:val="212121"/>
          <w:sz w:val="22"/>
          <w:szCs w:val="22"/>
        </w:rPr>
        <w:t>-</w:t>
      </w:r>
      <w:proofErr w:type="spellStart"/>
      <w:r>
        <w:rPr>
          <w:b/>
          <w:color w:val="212121"/>
          <w:sz w:val="22"/>
          <w:szCs w:val="22"/>
        </w:rPr>
        <w:t>Rebeiro</w:t>
      </w:r>
      <w:proofErr w:type="spellEnd"/>
      <w:r>
        <w:rPr>
          <w:b/>
          <w:color w:val="212121"/>
          <w:sz w:val="22"/>
          <w:szCs w:val="22"/>
        </w:rPr>
        <w:t>-Hargrave</w:t>
      </w:r>
      <w:r>
        <w:rPr>
          <w:color w:val="212121"/>
          <w:sz w:val="22"/>
          <w:szCs w:val="22"/>
        </w:rPr>
        <w:t>, Deputy Director, NY UN-Habitat Office</w:t>
      </w:r>
    </w:p>
    <w:p w14:paraId="1F6886FF" w14:textId="77777777" w:rsidR="00B87A3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212121"/>
          <w:sz w:val="22"/>
          <w:szCs w:val="22"/>
        </w:rPr>
      </w:pPr>
      <w:proofErr w:type="gramStart"/>
      <w:r>
        <w:rPr>
          <w:color w:val="212121"/>
          <w:sz w:val="22"/>
          <w:szCs w:val="22"/>
        </w:rPr>
        <w:t>Panelists :</w:t>
      </w:r>
      <w:proofErr w:type="gramEnd"/>
    </w:p>
    <w:p w14:paraId="080FADB2" w14:textId="77777777" w:rsidR="00B87A3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212121"/>
          <w:sz w:val="22"/>
          <w:szCs w:val="22"/>
        </w:rPr>
      </w:pPr>
      <w:r>
        <w:rPr>
          <w:b/>
          <w:color w:val="000000"/>
          <w:sz w:val="22"/>
          <w:szCs w:val="22"/>
        </w:rPr>
        <w:t>H.E. Ambassador Muhammad Abdul Muhith</w:t>
      </w:r>
      <w:r>
        <w:rPr>
          <w:color w:val="000000"/>
          <w:sz w:val="22"/>
          <w:szCs w:val="22"/>
        </w:rPr>
        <w:t>, Permanent Representative of Bangladesh to the United Nations</w:t>
      </w:r>
      <w:r>
        <w:rPr>
          <w:color w:val="212121"/>
          <w:sz w:val="22"/>
          <w:szCs w:val="22"/>
        </w:rPr>
        <w:t xml:space="preserve"> </w:t>
      </w:r>
    </w:p>
    <w:p w14:paraId="7B43AD75" w14:textId="34DFB01E" w:rsidR="004F07A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12121"/>
          <w:sz w:val="22"/>
          <w:szCs w:val="22"/>
        </w:rPr>
      </w:pPr>
      <w:r>
        <w:rPr>
          <w:b/>
          <w:color w:val="212121"/>
          <w:sz w:val="22"/>
          <w:szCs w:val="22"/>
        </w:rPr>
        <w:t xml:space="preserve">Lana Louise </w:t>
      </w:r>
      <w:proofErr w:type="spellStart"/>
      <w:r>
        <w:rPr>
          <w:b/>
          <w:color w:val="212121"/>
          <w:sz w:val="22"/>
          <w:szCs w:val="22"/>
        </w:rPr>
        <w:t>Finikin</w:t>
      </w:r>
      <w:proofErr w:type="spellEnd"/>
      <w:r>
        <w:rPr>
          <w:color w:val="212121"/>
          <w:sz w:val="22"/>
          <w:szCs w:val="22"/>
        </w:rPr>
        <w:t xml:space="preserve">, </w:t>
      </w:r>
      <w:proofErr w:type="spellStart"/>
      <w:r>
        <w:rPr>
          <w:color w:val="212121"/>
          <w:sz w:val="22"/>
          <w:szCs w:val="22"/>
        </w:rPr>
        <w:t>Huairou</w:t>
      </w:r>
      <w:proofErr w:type="spellEnd"/>
      <w:r>
        <w:rPr>
          <w:color w:val="212121"/>
          <w:sz w:val="22"/>
          <w:szCs w:val="22"/>
        </w:rPr>
        <w:t xml:space="preserve"> Commission Governing Council Vice Chair</w:t>
      </w:r>
    </w:p>
    <w:p w14:paraId="5C873CF6" w14:textId="7A99D9C1" w:rsidR="00B87A3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12121"/>
          <w:sz w:val="22"/>
          <w:szCs w:val="22"/>
        </w:rPr>
      </w:pPr>
      <w:r>
        <w:rPr>
          <w:b/>
          <w:color w:val="212121"/>
          <w:sz w:val="22"/>
          <w:szCs w:val="22"/>
        </w:rPr>
        <w:t xml:space="preserve">Mino </w:t>
      </w:r>
      <w:proofErr w:type="spellStart"/>
      <w:r>
        <w:rPr>
          <w:b/>
          <w:color w:val="212121"/>
          <w:sz w:val="22"/>
          <w:szCs w:val="22"/>
        </w:rPr>
        <w:t>Ramaroson</w:t>
      </w:r>
      <w:proofErr w:type="spellEnd"/>
      <w:r>
        <w:rPr>
          <w:color w:val="212121"/>
          <w:sz w:val="22"/>
          <w:szCs w:val="22"/>
        </w:rPr>
        <w:t xml:space="preserve">, </w:t>
      </w:r>
      <w:proofErr w:type="spellStart"/>
      <w:r>
        <w:rPr>
          <w:color w:val="212121"/>
          <w:sz w:val="22"/>
          <w:szCs w:val="22"/>
        </w:rPr>
        <w:t>HUairou</w:t>
      </w:r>
      <w:proofErr w:type="spellEnd"/>
      <w:r>
        <w:rPr>
          <w:color w:val="212121"/>
          <w:sz w:val="22"/>
          <w:szCs w:val="22"/>
        </w:rPr>
        <w:t xml:space="preserve"> Commission Africa regional Coordinator &amp; Land-Specialist</w:t>
      </w:r>
    </w:p>
    <w:p w14:paraId="4B3A8527" w14:textId="77777777" w:rsidR="00B87A3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Jean Quinn</w:t>
      </w:r>
      <w:r>
        <w:rPr>
          <w:color w:val="000000"/>
          <w:sz w:val="22"/>
          <w:szCs w:val="22"/>
        </w:rPr>
        <w:t>, Director, UNANIMA International</w:t>
      </w:r>
    </w:p>
    <w:p w14:paraId="1F131691" w14:textId="77777777" w:rsidR="00B87A3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12121"/>
          <w:sz w:val="22"/>
          <w:szCs w:val="22"/>
        </w:rPr>
      </w:pPr>
      <w:r>
        <w:rPr>
          <w:b/>
          <w:color w:val="212121"/>
          <w:sz w:val="22"/>
          <w:szCs w:val="22"/>
        </w:rPr>
        <w:t>Jane Onyango</w:t>
      </w:r>
      <w:r>
        <w:rPr>
          <w:color w:val="212121"/>
          <w:sz w:val="22"/>
          <w:szCs w:val="22"/>
        </w:rPr>
        <w:t>, Director, Polycom Development, Kenya</w:t>
      </w:r>
    </w:p>
    <w:p w14:paraId="3A5573A5" w14:textId="77777777" w:rsidR="00B87A3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Moderator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Angela Mwai</w:t>
      </w:r>
      <w:r>
        <w:rPr>
          <w:color w:val="000000"/>
          <w:sz w:val="22"/>
          <w:szCs w:val="22"/>
        </w:rPr>
        <w:t xml:space="preserve">, Head, </w:t>
      </w:r>
      <w:r>
        <w:rPr>
          <w:color w:val="000000"/>
          <w:sz w:val="22"/>
          <w:szCs w:val="22"/>
          <w:highlight w:val="white"/>
        </w:rPr>
        <w:t>Human Rights and Social Inclusion Unit,</w:t>
      </w:r>
      <w:r>
        <w:rPr>
          <w:color w:val="000000"/>
          <w:sz w:val="22"/>
          <w:szCs w:val="22"/>
        </w:rPr>
        <w:t xml:space="preserve"> UN-Habitat </w:t>
      </w:r>
    </w:p>
    <w:p w14:paraId="7B4258E7" w14:textId="77777777" w:rsidR="00B87A31" w:rsidRDefault="00B87A31">
      <w:pPr>
        <w:rPr>
          <w:color w:val="000000"/>
          <w:sz w:val="22"/>
          <w:szCs w:val="22"/>
        </w:rPr>
      </w:pPr>
    </w:p>
    <w:p w14:paraId="3B599F90" w14:textId="77777777" w:rsidR="00B87A31" w:rsidRDefault="00B87A31">
      <w:pPr>
        <w:rPr>
          <w:color w:val="000000"/>
          <w:sz w:val="22"/>
          <w:szCs w:val="22"/>
        </w:rPr>
      </w:pPr>
    </w:p>
    <w:p w14:paraId="784B24B6" w14:textId="77777777" w:rsidR="00B87A31" w:rsidRDefault="00000000">
      <w:pPr>
        <w:rPr>
          <w:b/>
          <w:color w:val="000000"/>
        </w:rPr>
      </w:pPr>
      <w:r>
        <w:br w:type="page"/>
      </w:r>
    </w:p>
    <w:p w14:paraId="75CC4C4E" w14:textId="77777777" w:rsidR="00B87A31" w:rsidRDefault="00000000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Proposed Agenda (1 </w:t>
      </w:r>
      <w:proofErr w:type="spellStart"/>
      <w:r>
        <w:rPr>
          <w:b/>
          <w:color w:val="000000"/>
        </w:rPr>
        <w:t>hr</w:t>
      </w:r>
      <w:proofErr w:type="spellEnd"/>
      <w:r>
        <w:rPr>
          <w:b/>
          <w:color w:val="000000"/>
        </w:rPr>
        <w:t xml:space="preserve"> 15 mins </w:t>
      </w:r>
      <w:proofErr w:type="gramStart"/>
      <w:r>
        <w:rPr>
          <w:b/>
          <w:color w:val="000000"/>
        </w:rPr>
        <w:t>session )</w:t>
      </w:r>
      <w:proofErr w:type="gramEnd"/>
      <w:r>
        <w:rPr>
          <w:b/>
          <w:color w:val="000000"/>
        </w:rPr>
        <w:t>:</w:t>
      </w:r>
    </w:p>
    <w:p w14:paraId="399845A5" w14:textId="77777777" w:rsidR="00B87A31" w:rsidRDefault="00B87A31">
      <w:pPr>
        <w:spacing w:after="240"/>
        <w:jc w:val="both"/>
        <w:rPr>
          <w:b/>
          <w:color w:val="252525"/>
          <w:sz w:val="22"/>
          <w:szCs w:val="22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3969"/>
        <w:gridCol w:w="3794"/>
      </w:tblGrid>
      <w:tr w:rsidR="00B87A31" w14:paraId="54353B9E" w14:textId="77777777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A7C8" w14:textId="77777777" w:rsidR="00B87A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52525"/>
                <w:sz w:val="22"/>
                <w:szCs w:val="22"/>
              </w:rPr>
            </w:pPr>
            <w:r>
              <w:rPr>
                <w:b/>
                <w:color w:val="252525"/>
                <w:sz w:val="22"/>
                <w:szCs w:val="22"/>
              </w:rPr>
              <w:t xml:space="preserve">Time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5928" w14:textId="77777777" w:rsidR="00B87A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52525"/>
                <w:sz w:val="22"/>
                <w:szCs w:val="22"/>
              </w:rPr>
            </w:pPr>
            <w:r>
              <w:rPr>
                <w:b/>
                <w:color w:val="252525"/>
                <w:sz w:val="22"/>
                <w:szCs w:val="22"/>
              </w:rPr>
              <w:t>Description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2188" w14:textId="77777777" w:rsidR="00B87A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52525"/>
                <w:sz w:val="22"/>
                <w:szCs w:val="22"/>
              </w:rPr>
            </w:pPr>
            <w:r>
              <w:rPr>
                <w:b/>
                <w:color w:val="252525"/>
                <w:sz w:val="22"/>
                <w:szCs w:val="22"/>
              </w:rPr>
              <w:t>Details</w:t>
            </w:r>
          </w:p>
        </w:tc>
      </w:tr>
      <w:tr w:rsidR="00B87A31" w14:paraId="5BBB0E1E" w14:textId="77777777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F4BE" w14:textId="77777777" w:rsidR="00B87A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>3 mins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D66B" w14:textId="77777777" w:rsidR="00B87A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>Welcoming Remarks</w:t>
            </w:r>
          </w:p>
          <w:p w14:paraId="737FA5F4" w14:textId="77777777" w:rsidR="00B87A31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6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>Moderator: Angela Mwai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6EBE" w14:textId="77777777" w:rsidR="00B87A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Moderator Introductions of panelists + setting the scene </w:t>
            </w:r>
          </w:p>
        </w:tc>
      </w:tr>
      <w:tr w:rsidR="00B87A31" w14:paraId="12892145" w14:textId="77777777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7D5A" w14:textId="77777777" w:rsidR="00B87A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>5 mins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B81F" w14:textId="77777777" w:rsidR="00B87A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Opening remarks by </w:t>
            </w:r>
            <w:r>
              <w:rPr>
                <w:b/>
                <w:color w:val="000000"/>
                <w:sz w:val="22"/>
                <w:szCs w:val="22"/>
              </w:rPr>
              <w:t>H.E. Ambassador Muhammad Abdul Muhith</w:t>
            </w:r>
            <w:r>
              <w:rPr>
                <w:color w:val="000000"/>
                <w:sz w:val="22"/>
                <w:szCs w:val="22"/>
              </w:rPr>
              <w:t>, Permanent Representative of Bangladesh to the United Nations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293F" w14:textId="77777777" w:rsidR="00B87A31" w:rsidRDefault="00B87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52525"/>
                <w:sz w:val="22"/>
                <w:szCs w:val="22"/>
              </w:rPr>
            </w:pPr>
          </w:p>
        </w:tc>
      </w:tr>
      <w:tr w:rsidR="00B87A31" w14:paraId="5ABD4B68" w14:textId="77777777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DFD34" w14:textId="77777777" w:rsidR="00B87A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>4 mins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78304" w14:textId="77777777" w:rsidR="00B87A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Introduction to the World Urban Campaign (WUC) and the Global #Housing Matters Campaign </w:t>
            </w:r>
          </w:p>
          <w:p w14:paraId="71EA0319" w14:textId="77777777" w:rsidR="00B87A31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6"/>
              <w:rPr>
                <w:color w:val="212121"/>
                <w:sz w:val="22"/>
                <w:szCs w:val="22"/>
              </w:rPr>
            </w:pPr>
            <w:r>
              <w:rPr>
                <w:b/>
                <w:color w:val="212121"/>
                <w:sz w:val="22"/>
                <w:szCs w:val="22"/>
              </w:rPr>
              <w:t xml:space="preserve">Paula </w:t>
            </w:r>
            <w:proofErr w:type="spellStart"/>
            <w:r>
              <w:rPr>
                <w:b/>
                <w:color w:val="212121"/>
                <w:sz w:val="22"/>
                <w:szCs w:val="22"/>
              </w:rPr>
              <w:t>Pennanen</w:t>
            </w:r>
            <w:proofErr w:type="spellEnd"/>
            <w:r>
              <w:rPr>
                <w:b/>
                <w:color w:val="212121"/>
                <w:sz w:val="22"/>
                <w:szCs w:val="22"/>
              </w:rPr>
              <w:t>-</w:t>
            </w:r>
            <w:proofErr w:type="spellStart"/>
            <w:r>
              <w:rPr>
                <w:b/>
                <w:color w:val="212121"/>
                <w:sz w:val="22"/>
                <w:szCs w:val="22"/>
              </w:rPr>
              <w:t>Rebeiro</w:t>
            </w:r>
            <w:proofErr w:type="spellEnd"/>
            <w:r>
              <w:rPr>
                <w:b/>
                <w:color w:val="212121"/>
                <w:sz w:val="22"/>
                <w:szCs w:val="22"/>
              </w:rPr>
              <w:t>-Hargrave</w:t>
            </w:r>
            <w:r>
              <w:rPr>
                <w:color w:val="212121"/>
                <w:sz w:val="22"/>
                <w:szCs w:val="22"/>
              </w:rPr>
              <w:t>, Deputy Director, NY UN-Habitat Office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BD55" w14:textId="77777777" w:rsidR="00B87A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#Housing matters - </w:t>
            </w:r>
            <w:r>
              <w:rPr>
                <w:color w:val="0C3254"/>
                <w:sz w:val="22"/>
                <w:szCs w:val="22"/>
              </w:rPr>
              <w:t>A global campaign to ensure that housing is recognized as a fundamental need that shapes our environment, well-being, and the future of our planet. Because housing matters, we need to unite and act together</w:t>
            </w:r>
          </w:p>
        </w:tc>
      </w:tr>
      <w:tr w:rsidR="00B87A31" w14:paraId="43B34F52" w14:textId="77777777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B358" w14:textId="77777777" w:rsidR="00B87A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>15 mins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F34A" w14:textId="77777777" w:rsidR="00B87A3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housing crisis has reached unprecedented levels, exacerbated by the profound effects of the COVID-19 pandemic and the deepening inequalities resulting from a convergence of crises stemming from climate change impacts and conflicts. Financial repercussions and escalating disparities further compound the challenges, impacting countries, cities, and communities on a global scale.</w:t>
            </w:r>
          </w:p>
          <w:p w14:paraId="1CD019D4" w14:textId="77777777" w:rsidR="00B87A3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Adequate and affordable housing has become an urgent imperative to address the rising shelter deficit, making people increasingly vulnerable to heat waves, floods, </w:t>
            </w:r>
            <w:proofErr w:type="gramStart"/>
            <w:r>
              <w:rPr>
                <w:sz w:val="22"/>
                <w:szCs w:val="22"/>
              </w:rPr>
              <w:t>storms</w:t>
            </w:r>
            <w:proofErr w:type="gramEnd"/>
            <w:r>
              <w:rPr>
                <w:sz w:val="22"/>
                <w:szCs w:val="22"/>
              </w:rPr>
              <w:t xml:space="preserve"> and other adverse climate change impacts. It is estimated that the world needs to build 96,000 new affordable homes every day to house the estimated 3 billion people who will need access to adequate housing by 2030.</w:t>
            </w:r>
          </w:p>
          <w:p w14:paraId="767B997A" w14:textId="77777777" w:rsidR="00B87A31" w:rsidRDefault="00B87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52525"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D7C0" w14:textId="77777777" w:rsidR="00B87A31" w:rsidRDefault="00000000">
            <w:pPr>
              <w:spacing w:before="240" w:after="240"/>
              <w:rPr>
                <w:b/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Panelists Discussion of Guiding Question 1: </w:t>
            </w:r>
            <w:r>
              <w:rPr>
                <w:b/>
                <w:color w:val="252525"/>
                <w:sz w:val="22"/>
                <w:szCs w:val="22"/>
              </w:rPr>
              <w:t>What are some of the challenges that your government/</w:t>
            </w:r>
            <w:proofErr w:type="spellStart"/>
            <w:r>
              <w:rPr>
                <w:b/>
                <w:color w:val="252525"/>
                <w:sz w:val="22"/>
                <w:szCs w:val="22"/>
              </w:rPr>
              <w:t>organisation</w:t>
            </w:r>
            <w:proofErr w:type="spellEnd"/>
            <w:r>
              <w:rPr>
                <w:b/>
                <w:color w:val="252525"/>
                <w:sz w:val="22"/>
                <w:szCs w:val="22"/>
              </w:rPr>
              <w:t xml:space="preserve"> observes on housing issues and why do they matter to women/how do they impact women? </w:t>
            </w:r>
          </w:p>
          <w:p w14:paraId="0750D977" w14:textId="77777777" w:rsidR="00B87A31" w:rsidRDefault="00000000">
            <w:pPr>
              <w:spacing w:before="240" w:after="240"/>
              <w:rPr>
                <w:b/>
                <w:color w:val="252525"/>
                <w:sz w:val="22"/>
                <w:szCs w:val="22"/>
              </w:rPr>
            </w:pPr>
            <w:r>
              <w:rPr>
                <w:b/>
                <w:color w:val="252525"/>
                <w:sz w:val="22"/>
                <w:szCs w:val="22"/>
              </w:rPr>
              <w:t>3-4 mins per speaker</w:t>
            </w:r>
          </w:p>
        </w:tc>
      </w:tr>
      <w:tr w:rsidR="00B87A31" w14:paraId="1FF32145" w14:textId="77777777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D341" w14:textId="77777777" w:rsidR="00B87A31" w:rsidRDefault="00000000">
            <w:pPr>
              <w:widowControl w:val="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>15-mins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355FB" w14:textId="77777777" w:rsidR="00B87A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A3838"/>
                <w:sz w:val="22"/>
                <w:szCs w:val="22"/>
              </w:rPr>
            </w:pPr>
            <w:r>
              <w:rPr>
                <w:color w:val="3A3838"/>
                <w:sz w:val="22"/>
                <w:szCs w:val="22"/>
              </w:rPr>
              <w:t xml:space="preserve">In most cultures, it is women and girls who are primarily responsible for sustaining and maintaining the home, as well as </w:t>
            </w:r>
            <w:proofErr w:type="gramStart"/>
            <w:r>
              <w:rPr>
                <w:color w:val="3A3838"/>
                <w:sz w:val="22"/>
                <w:szCs w:val="22"/>
              </w:rPr>
              <w:t>all of</w:t>
            </w:r>
            <w:proofErr w:type="gramEnd"/>
            <w:r>
              <w:rPr>
                <w:color w:val="3A3838"/>
                <w:sz w:val="22"/>
                <w:szCs w:val="22"/>
              </w:rPr>
              <w:t xml:space="preserve"> the care responsibilities that come with it. However, there are also less women in decision-making spaces on the development and design of housing </w:t>
            </w:r>
            <w:proofErr w:type="gramStart"/>
            <w:r>
              <w:rPr>
                <w:color w:val="3A3838"/>
                <w:sz w:val="22"/>
                <w:szCs w:val="22"/>
              </w:rPr>
              <w:t>related ;policies</w:t>
            </w:r>
            <w:proofErr w:type="gramEnd"/>
            <w:r>
              <w:rPr>
                <w:color w:val="3A3838"/>
                <w:sz w:val="22"/>
                <w:szCs w:val="22"/>
              </w:rPr>
              <w:t xml:space="preserve"> -planning (location), financing, design </w:t>
            </w:r>
            <w:proofErr w:type="spellStart"/>
            <w:r>
              <w:rPr>
                <w:color w:val="3A3838"/>
                <w:sz w:val="22"/>
                <w:szCs w:val="22"/>
              </w:rPr>
              <w:t>etc</w:t>
            </w:r>
            <w:proofErr w:type="spellEnd"/>
          </w:p>
          <w:p w14:paraId="08D65135" w14:textId="77777777" w:rsidR="00B87A31" w:rsidRDefault="00B8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1B9F" w14:textId="77777777" w:rsidR="00B87A31" w:rsidRDefault="00000000">
            <w:pPr>
              <w:spacing w:before="240" w:after="24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Panelists Discussion of Guiding Question 2: </w:t>
            </w:r>
            <w:r>
              <w:rPr>
                <w:b/>
                <w:color w:val="252525"/>
                <w:sz w:val="22"/>
                <w:szCs w:val="22"/>
              </w:rPr>
              <w:t>How is your government/</w:t>
            </w:r>
            <w:proofErr w:type="spellStart"/>
            <w:r>
              <w:rPr>
                <w:b/>
                <w:color w:val="252525"/>
                <w:sz w:val="22"/>
                <w:szCs w:val="22"/>
              </w:rPr>
              <w:t>organisation</w:t>
            </w:r>
            <w:proofErr w:type="spellEnd"/>
            <w:r>
              <w:rPr>
                <w:b/>
                <w:color w:val="252525"/>
                <w:sz w:val="22"/>
                <w:szCs w:val="22"/>
              </w:rPr>
              <w:t xml:space="preserve"> working with partners to address the empowerment of women and girls to access housing?</w:t>
            </w:r>
          </w:p>
          <w:p w14:paraId="1C8E7389" w14:textId="77777777" w:rsidR="00B87A31" w:rsidRDefault="00000000">
            <w:pPr>
              <w:spacing w:before="240" w:after="240"/>
              <w:rPr>
                <w:b/>
                <w:color w:val="252525"/>
                <w:sz w:val="22"/>
                <w:szCs w:val="22"/>
              </w:rPr>
            </w:pPr>
            <w:r>
              <w:rPr>
                <w:b/>
                <w:color w:val="252525"/>
                <w:sz w:val="22"/>
                <w:szCs w:val="22"/>
              </w:rPr>
              <w:t>3-4 mins per speaker</w:t>
            </w:r>
          </w:p>
        </w:tc>
      </w:tr>
      <w:tr w:rsidR="00B87A31" w14:paraId="022D80AD" w14:textId="77777777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0704" w14:textId="77777777" w:rsidR="00B87A31" w:rsidRDefault="00000000">
            <w:pPr>
              <w:widowControl w:val="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lastRenderedPageBreak/>
              <w:t>15-mins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A1214" w14:textId="77777777" w:rsidR="00B87A31" w:rsidRDefault="00000000">
            <w:pPr>
              <w:widowControl w:val="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Call for Action/Sharing of Good Practices-Tools &amp; </w:t>
            </w:r>
            <w:proofErr w:type="spellStart"/>
            <w:r>
              <w:rPr>
                <w:color w:val="252525"/>
                <w:sz w:val="22"/>
                <w:szCs w:val="22"/>
              </w:rPr>
              <w:t>Recommmendation</w:t>
            </w:r>
            <w:proofErr w:type="spellEnd"/>
            <w:r>
              <w:rPr>
                <w:color w:val="252525"/>
                <w:sz w:val="22"/>
                <w:szCs w:val="22"/>
              </w:rPr>
              <w:t>(s)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32C6" w14:textId="77777777" w:rsidR="00B87A31" w:rsidRDefault="00000000">
            <w:pPr>
              <w:spacing w:before="240" w:after="24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Panelists Discussion of Guiding Question 3: </w:t>
            </w:r>
            <w:r>
              <w:rPr>
                <w:b/>
                <w:color w:val="252525"/>
                <w:sz w:val="22"/>
                <w:szCs w:val="22"/>
              </w:rPr>
              <w:t xml:space="preserve">Can you share a good practice/tool and/or recommendation that </w:t>
            </w:r>
            <w:r>
              <w:rPr>
                <w:b/>
                <w:sz w:val="22"/>
                <w:szCs w:val="22"/>
              </w:rPr>
              <w:t>center-stage women’s contributions, leadership, needs and roles; and work for them</w:t>
            </w:r>
            <w:r>
              <w:rPr>
                <w:sz w:val="22"/>
                <w:szCs w:val="22"/>
              </w:rPr>
              <w:t xml:space="preserve">. </w:t>
            </w:r>
          </w:p>
          <w:p w14:paraId="031CC7E6" w14:textId="77777777" w:rsidR="00B87A31" w:rsidRDefault="00000000">
            <w:pPr>
              <w:spacing w:before="240" w:after="240"/>
              <w:rPr>
                <w:b/>
                <w:color w:val="252525"/>
                <w:sz w:val="22"/>
                <w:szCs w:val="22"/>
              </w:rPr>
            </w:pPr>
            <w:r>
              <w:rPr>
                <w:b/>
                <w:color w:val="252525"/>
                <w:sz w:val="22"/>
                <w:szCs w:val="22"/>
              </w:rPr>
              <w:t>3-4 mins per speaker</w:t>
            </w:r>
          </w:p>
        </w:tc>
      </w:tr>
      <w:tr w:rsidR="00B87A31" w14:paraId="1BB2658B" w14:textId="77777777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E1038" w14:textId="77777777" w:rsidR="00B87A31" w:rsidRDefault="00000000">
            <w:pPr>
              <w:widowControl w:val="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>10 mins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F4A0" w14:textId="77777777" w:rsidR="00B87A31" w:rsidRDefault="00000000">
            <w:pPr>
              <w:widowControl w:val="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Q+A with Audience 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90D7" w14:textId="77777777" w:rsidR="00B87A31" w:rsidRDefault="00B87A31">
            <w:pPr>
              <w:spacing w:before="240" w:after="240"/>
              <w:rPr>
                <w:b/>
                <w:color w:val="252525"/>
                <w:sz w:val="22"/>
                <w:szCs w:val="22"/>
              </w:rPr>
            </w:pPr>
          </w:p>
        </w:tc>
      </w:tr>
      <w:tr w:rsidR="00B87A31" w14:paraId="27C704FB" w14:textId="77777777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E4C61" w14:textId="77777777" w:rsidR="00B87A31" w:rsidRDefault="00000000">
            <w:pPr>
              <w:widowControl w:val="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>7 mins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F8A2" w14:textId="77777777" w:rsidR="00B87A31" w:rsidRDefault="00000000">
            <w:pPr>
              <w:widowControl w:val="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>Summary and Closing Remarks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33F0F" w14:textId="77777777" w:rsidR="00B87A31" w:rsidRDefault="00B87A31">
            <w:pPr>
              <w:spacing w:before="240" w:after="240"/>
              <w:rPr>
                <w:b/>
                <w:color w:val="252525"/>
                <w:sz w:val="22"/>
                <w:szCs w:val="22"/>
              </w:rPr>
            </w:pPr>
          </w:p>
        </w:tc>
      </w:tr>
    </w:tbl>
    <w:p w14:paraId="1916E5A1" w14:textId="77777777" w:rsidR="00B87A31" w:rsidRDefault="00B87A31">
      <w:pPr>
        <w:spacing w:after="240"/>
        <w:jc w:val="both"/>
        <w:rPr>
          <w:color w:val="252525"/>
          <w:sz w:val="22"/>
          <w:szCs w:val="22"/>
        </w:rPr>
      </w:pPr>
    </w:p>
    <w:p w14:paraId="1E74202A" w14:textId="77777777" w:rsidR="00B87A31" w:rsidRDefault="00B87A31">
      <w:pPr>
        <w:rPr>
          <w:color w:val="000000"/>
          <w:sz w:val="22"/>
          <w:szCs w:val="22"/>
        </w:rPr>
      </w:pPr>
    </w:p>
    <w:p w14:paraId="6802BA74" w14:textId="77777777" w:rsidR="00B87A31" w:rsidRDefault="00B87A31">
      <w:pPr>
        <w:rPr>
          <w:color w:val="000000"/>
          <w:sz w:val="22"/>
          <w:szCs w:val="22"/>
        </w:rPr>
      </w:pPr>
    </w:p>
    <w:sectPr w:rsidR="00B87A31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7FAF" w14:textId="77777777" w:rsidR="0007788C" w:rsidRDefault="0007788C">
      <w:r>
        <w:separator/>
      </w:r>
    </w:p>
  </w:endnote>
  <w:endnote w:type="continuationSeparator" w:id="0">
    <w:p w14:paraId="5C3EE449" w14:textId="77777777" w:rsidR="0007788C" w:rsidRDefault="0007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404A" w14:textId="77777777" w:rsidR="00B87A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AD4FE86" w14:textId="77777777" w:rsidR="00B87A31" w:rsidRDefault="00B87A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686A" w14:textId="77777777" w:rsidR="00B87A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56E18">
      <w:rPr>
        <w:noProof/>
        <w:color w:val="000000"/>
      </w:rPr>
      <w:t>1</w:t>
    </w:r>
    <w:r>
      <w:rPr>
        <w:color w:val="000000"/>
      </w:rPr>
      <w:fldChar w:fldCharType="end"/>
    </w:r>
  </w:p>
  <w:p w14:paraId="595D804D" w14:textId="77777777" w:rsidR="00B87A31" w:rsidRDefault="00B87A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E6DE" w14:textId="77777777" w:rsidR="0007788C" w:rsidRDefault="0007788C">
      <w:r>
        <w:separator/>
      </w:r>
    </w:p>
  </w:footnote>
  <w:footnote w:type="continuationSeparator" w:id="0">
    <w:p w14:paraId="5FE1E1C4" w14:textId="77777777" w:rsidR="0007788C" w:rsidRDefault="0007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326"/>
    <w:multiLevelType w:val="multilevel"/>
    <w:tmpl w:val="2432FB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F36EFF"/>
    <w:multiLevelType w:val="multilevel"/>
    <w:tmpl w:val="F0104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AE63A9"/>
    <w:multiLevelType w:val="multilevel"/>
    <w:tmpl w:val="202E03A6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196E7C"/>
    <w:multiLevelType w:val="multilevel"/>
    <w:tmpl w:val="9314F410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D52CCB"/>
    <w:multiLevelType w:val="multilevel"/>
    <w:tmpl w:val="3A1497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384873"/>
    <w:multiLevelType w:val="multilevel"/>
    <w:tmpl w:val="454A7E8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D51D01"/>
    <w:multiLevelType w:val="multilevel"/>
    <w:tmpl w:val="B98A6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34049049">
    <w:abstractNumId w:val="2"/>
  </w:num>
  <w:num w:numId="2" w16cid:durableId="2079009382">
    <w:abstractNumId w:val="0"/>
  </w:num>
  <w:num w:numId="3" w16cid:durableId="417169252">
    <w:abstractNumId w:val="1"/>
  </w:num>
  <w:num w:numId="4" w16cid:durableId="1820801055">
    <w:abstractNumId w:val="6"/>
  </w:num>
  <w:num w:numId="5" w16cid:durableId="876547436">
    <w:abstractNumId w:val="4"/>
  </w:num>
  <w:num w:numId="6" w16cid:durableId="1112239888">
    <w:abstractNumId w:val="5"/>
  </w:num>
  <w:num w:numId="7" w16cid:durableId="618803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31"/>
    <w:rsid w:val="00056E18"/>
    <w:rsid w:val="0007788C"/>
    <w:rsid w:val="004F07A3"/>
    <w:rsid w:val="009F5942"/>
    <w:rsid w:val="00B87A31"/>
    <w:rsid w:val="00C9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A29C4D"/>
  <w15:docId w15:val="{B021EBDA-77C8-9F42-B340-F985AFB9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142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D142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42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D142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022B8E"/>
    <w:rPr>
      <w:b/>
      <w:bCs/>
    </w:rPr>
  </w:style>
  <w:style w:type="paragraph" w:customStyle="1" w:styleId="font8">
    <w:name w:val="font_8"/>
    <w:basedOn w:val="Normal"/>
    <w:rsid w:val="00EC7B6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MY" w:eastAsia="en-GB"/>
    </w:rPr>
  </w:style>
  <w:style w:type="character" w:customStyle="1" w:styleId="wixui-rich-texttext1">
    <w:name w:val="wixui-rich-text__text1"/>
    <w:basedOn w:val="Policepardfaut"/>
    <w:rsid w:val="00EC7B6B"/>
  </w:style>
  <w:style w:type="character" w:customStyle="1" w:styleId="apple-converted-space">
    <w:name w:val="apple-converted-space"/>
    <w:basedOn w:val="Policepardfaut"/>
    <w:rsid w:val="00EC7B6B"/>
  </w:style>
  <w:style w:type="paragraph" w:styleId="Paragraphedeliste">
    <w:name w:val="List Paragraph"/>
    <w:basedOn w:val="Normal"/>
    <w:uiPriority w:val="34"/>
    <w:qFormat/>
    <w:rsid w:val="00EA2B3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7136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1369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D71369"/>
  </w:style>
  <w:style w:type="character" w:customStyle="1" w:styleId="Titre2Car">
    <w:name w:val="Titre 2 Car"/>
    <w:basedOn w:val="Policepardfaut"/>
    <w:link w:val="Titre2"/>
    <w:uiPriority w:val="9"/>
    <w:rsid w:val="00D142BE"/>
    <w:rPr>
      <w:rFonts w:ascii="Times New Roman" w:eastAsia="Times New Roman" w:hAnsi="Times New Roman" w:cs="Times New Roman"/>
      <w:b/>
      <w:bCs/>
      <w:kern w:val="0"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D142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semiHidden/>
    <w:unhideWhenUsed/>
    <w:rsid w:val="00D142BE"/>
    <w:rPr>
      <w:color w:val="0000FF"/>
      <w:u w:val="single"/>
    </w:rPr>
  </w:style>
  <w:style w:type="paragraph" w:styleId="Sansinterligne">
    <w:name w:val="No Spacing"/>
    <w:uiPriority w:val="1"/>
    <w:qFormat/>
    <w:rsid w:val="00D142BE"/>
  </w:style>
  <w:style w:type="character" w:customStyle="1" w:styleId="Titre1Car">
    <w:name w:val="Titre 1 Car"/>
    <w:basedOn w:val="Policepardfaut"/>
    <w:link w:val="Titre1"/>
    <w:uiPriority w:val="9"/>
    <w:rsid w:val="00D142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D142BE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D142B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outlook-search-highlight">
    <w:name w:val="outlook-search-highlight"/>
    <w:basedOn w:val="Policepardfaut"/>
    <w:rsid w:val="0001575D"/>
  </w:style>
  <w:style w:type="paragraph" w:styleId="Rvision">
    <w:name w:val="Revision"/>
    <w:hidden/>
    <w:uiPriority w:val="99"/>
    <w:semiHidden/>
    <w:rsid w:val="004C348C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yELO1kXl5NJ3IUqcLNl7FkQEdw==">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1186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Husnaini</dc:creator>
  <cp:lastModifiedBy>UG-Sterckman, Margot</cp:lastModifiedBy>
  <cp:revision>4</cp:revision>
  <dcterms:created xsi:type="dcterms:W3CDTF">2024-03-06T19:56:00Z</dcterms:created>
  <dcterms:modified xsi:type="dcterms:W3CDTF">2024-03-06T20:02:00Z</dcterms:modified>
</cp:coreProperties>
</file>